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A04DA" w14:paraId="1BF81C70" w14:textId="77777777" w:rsidTr="00BA04DA">
        <w:trPr>
          <w:jc w:val="center"/>
        </w:trPr>
        <w:tc>
          <w:tcPr>
            <w:tcW w:w="0" w:type="auto"/>
            <w:shd w:val="clear" w:color="auto" w:fill="275627"/>
            <w:hideMark/>
          </w:tcPr>
          <w:tbl>
            <w:tblPr>
              <w:tblW w:w="5000" w:type="pct"/>
              <w:jc w:val="center"/>
              <w:shd w:val="clear" w:color="auto" w:fill="27562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A04DA" w14:paraId="2AF2281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A04DA" w14:paraId="5686EBDD" w14:textId="77777777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A04DA" w14:paraId="598332F7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BA04DA" w14:paraId="4F8D0FB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BA04DA" w14:paraId="6C4E6935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275627"/>
                                          <w:tcMar>
                                            <w:top w:w="0" w:type="dxa"/>
                                            <w:left w:w="0" w:type="dxa"/>
                                            <w:bottom w:w="12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3675B5" w14:textId="3AED1B72" w:rsidR="00BA04DA" w:rsidRDefault="00BA04DA">
                                          <w:pPr>
                                            <w:spacing w:line="15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  <w:color w:val="000000"/>
                                            </w:rPr>
                                            <w:drawing>
                                              <wp:inline distT="0" distB="0" distL="0" distR="0" wp14:anchorId="00B056B8" wp14:editId="5FC8F1B2">
                                                <wp:extent cx="44450" cy="6350"/>
                                                <wp:effectExtent l="0" t="0" r="0" b="0"/>
                                                <wp:docPr id="10" name="Picture 1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4450" cy="6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72708E6" w14:textId="77777777" w:rsidR="00BA04DA" w:rsidRDefault="00BA04D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A17144" w14:textId="77777777" w:rsidR="00BA04DA" w:rsidRDefault="00BA04DA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4711EA" w14:textId="77777777" w:rsidR="00BA04DA" w:rsidRDefault="00BA04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135D6C" w14:textId="77777777" w:rsidR="00BA04DA" w:rsidRDefault="00BA04DA">
                  <w:pPr>
                    <w:jc w:val="center"/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A04DA" w14:paraId="71C6E908" w14:textId="77777777">
                    <w:trPr>
                      <w:jc w:val="center"/>
                    </w:trPr>
                    <w:tc>
                      <w:tcPr>
                        <w:tcW w:w="5000" w:type="pct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A04DA" w14:paraId="79F2FAD1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BA04DA" w14:paraId="555153D0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EF3AD6F" w14:textId="4AF64474" w:rsidR="00BA04DA" w:rsidRDefault="00BA04DA">
                                    <w:pPr>
                                      <w:spacing w:line="15" w:lineRule="atLeas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7FB88F8" wp14:editId="0CBD085B">
                                          <wp:extent cx="44450" cy="6350"/>
                                          <wp:effectExtent l="0" t="0" r="0" b="0"/>
                                          <wp:docPr id="9" name="Picture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450" cy="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C094042" w14:textId="77777777" w:rsidR="00BA04DA" w:rsidRDefault="00BA04DA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04DA" w14:paraId="33EF977F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798D11C4" w14:textId="1B4415D5" w:rsidR="00BA04DA" w:rsidRDefault="00BA04DA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7C24771" wp14:editId="524AD116">
                                    <wp:extent cx="1651000" cy="1574800"/>
                                    <wp:effectExtent l="0" t="0" r="6350" b="635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1000" cy="157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993B064" w14:textId="77777777" w:rsidR="00BA04DA" w:rsidRDefault="00BA04DA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A04DA" w14:paraId="15ACEDE4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BA04DA" w14:paraId="6FA90187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1E2AA39" w14:textId="6A0ABB78" w:rsidR="00BA04DA" w:rsidRDefault="00BA04DA">
                                    <w:pPr>
                                      <w:spacing w:line="15" w:lineRule="atLeas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33BABFA" wp14:editId="0AF4BD31">
                                          <wp:extent cx="44450" cy="6350"/>
                                          <wp:effectExtent l="0" t="0" r="0" b="0"/>
                                          <wp:docPr id="7" name="Picture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450" cy="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1AC9A6C" w14:textId="77777777" w:rsidR="00BA04DA" w:rsidRDefault="00BA04DA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2EF056" w14:textId="77777777" w:rsidR="00BA04DA" w:rsidRDefault="00BA04D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E6D748" w14:textId="77777777" w:rsidR="00BA04DA" w:rsidRDefault="00BA04DA">
                  <w:pPr>
                    <w:jc w:val="center"/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A04DA" w14:paraId="5DB60728" w14:textId="77777777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DBD6A2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A04DA" w14:paraId="4C54C1C9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10DDDD45" w14:textId="434CA79B" w:rsidR="00BA04DA" w:rsidRDefault="00BA04DA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>MOO Applications for 202</w:t>
                              </w:r>
                              <w:r w:rsidR="00FD6556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>-2</w:t>
                              </w:r>
                              <w:r w:rsidR="00FD6556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 xml:space="preserve"> Now Being Accepted! </w:t>
                              </w:r>
                            </w:p>
                            <w:p w14:paraId="2A7E5A23" w14:textId="77777777" w:rsidR="00BA04DA" w:rsidRDefault="00BA04DA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>Sign Up Today!</w:t>
                              </w:r>
                            </w:p>
                          </w:tc>
                        </w:tr>
                      </w:tbl>
                      <w:p w14:paraId="6A9B2A63" w14:textId="77777777" w:rsidR="00BA04DA" w:rsidRDefault="00BA04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3D78A7" w14:textId="77777777" w:rsidR="00BA04DA" w:rsidRDefault="00BA04DA">
                  <w:pPr>
                    <w:jc w:val="center"/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0"/>
                    <w:gridCol w:w="4680"/>
                  </w:tblGrid>
                  <w:tr w:rsidR="00BA04DA" w14:paraId="0D74A2EF" w14:textId="77777777">
                    <w:trPr>
                      <w:jc w:val="center"/>
                    </w:trPr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80"/>
                        </w:tblGrid>
                        <w:tr w:rsidR="00BA04DA" w14:paraId="70632E69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14:paraId="704A6074" w14:textId="58139008" w:rsidR="00BA04DA" w:rsidRDefault="00BA04DA">
                              <w:pPr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  <w:t xml:space="preserve">The </w:t>
                              </w:r>
                              <w:hyperlink r:id="rId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387B37"/>
                                    <w:sz w:val="18"/>
                                    <w:szCs w:val="18"/>
                                  </w:rPr>
                                  <w:t>Mentoring Our Own (MOO) program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 is </w:t>
                              </w:r>
                              <w:r w:rsidR="00305FF3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designed for </w:t>
                              </w:r>
                              <w:r w:rsidR="0088084A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early-career professionals (1-5 years in research administration) who are seeking to enhance their leadership skills and vision</w:t>
                              </w: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 (mentees) as well as those who wish to share their experience and leadership skills with others (mentors). </w:t>
                              </w:r>
                              <w:r w:rsidR="00305FF3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The program empowers </w:t>
                              </w: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mentees with the knowledge and confidence they need to implement change within their own system and to actively contribute to growth across the field of Research Administration.</w:t>
                              </w:r>
                              <w:r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27F85E1E" w14:textId="77777777" w:rsidR="00BA04DA" w:rsidRDefault="00BA04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80"/>
                        </w:tblGrid>
                        <w:tr w:rsidR="00BA04DA" w14:paraId="63783B24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7E3F74FE" w14:textId="24D3418F" w:rsidR="00BA04DA" w:rsidRDefault="00BA04DA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34189F6" wp14:editId="2CCF393A">
                                    <wp:extent cx="2667000" cy="1435100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0" cy="1435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681D27C" w14:textId="77777777" w:rsidR="00BA04DA" w:rsidRDefault="00BA04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E9B7407" w14:textId="77777777" w:rsidR="00BA04DA" w:rsidRDefault="00BA04DA">
                  <w:pPr>
                    <w:jc w:val="center"/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A04DA" w14:paraId="7A713F91" w14:textId="77777777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717A80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A04DA" w14:paraId="0AA764A0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3CBF1C24" w14:textId="6D04B20A" w:rsidR="00BA04DA" w:rsidRDefault="00BA04DA">
                              <w:pPr>
                                <w:rPr>
                                  <w:rFonts w:ascii="Arial" w:hAnsi="Arial" w:cs="Arial"/>
                                  <w:color w:val="FFFFF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FEFEFE"/>
                                  <w:sz w:val="21"/>
                                  <w:szCs w:val="21"/>
                                </w:rPr>
                                <w:t>Benefits of Participating in MOO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 </w:t>
                              </w:r>
                              <w:r w:rsidR="006810A8">
                                <w:rPr>
                                  <w:rFonts w:ascii="Trebuchet MS" w:hAnsi="Trebuchet MS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Program</w:t>
                              </w:r>
                            </w:p>
                          </w:tc>
                        </w:tr>
                      </w:tbl>
                      <w:p w14:paraId="52CC15E8" w14:textId="77777777" w:rsidR="00BA04DA" w:rsidRDefault="00BA04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A09928" w14:textId="77777777" w:rsidR="00BA04DA" w:rsidRDefault="00BA04DA">
                  <w:pPr>
                    <w:jc w:val="center"/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A04DA" w14:paraId="49B67D2B" w14:textId="77777777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A04DA" w14:paraId="5C5144E9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5D207A8E" w14:textId="01896CEF" w:rsidR="00BA04DA" w:rsidRDefault="00BA04DA">
                              <w:pPr>
                                <w:rPr>
                                  <w:rFonts w:ascii="Arial" w:hAnsi="Arial" w:cs="Arial"/>
                                  <w:color w:val="717A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Whether you are looking to mentor or be mentored, MOO offers participants </w:t>
                              </w:r>
                              <w:r w:rsidR="00305FF3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valuable </w:t>
                              </w: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opportunities for professional growth and development:</w:t>
                              </w:r>
                              <w:r>
                                <w:rPr>
                                  <w:rFonts w:ascii="Arial" w:hAnsi="Arial" w:cs="Arial"/>
                                  <w:color w:val="717A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20A906C" w14:textId="77777777" w:rsidR="00BA04DA" w:rsidRDefault="00BA04DA">
                              <w:pPr>
                                <w:rPr>
                                  <w:rFonts w:ascii="Arial" w:hAnsi="Arial" w:cs="Arial"/>
                                  <w:color w:val="717A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717A80"/>
                                  <w:sz w:val="18"/>
                                  <w:szCs w:val="18"/>
                                </w:rPr>
                                <w:t>﻿</w:t>
                              </w:r>
                            </w:p>
                            <w:p w14:paraId="2A535C39" w14:textId="77777777" w:rsidR="00BA04DA" w:rsidRDefault="00BA04DA">
                              <w:pPr>
                                <w:rPr>
                                  <w:rFonts w:ascii="Arial" w:hAnsi="Arial" w:cs="Arial"/>
                                  <w:color w:val="717A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  <w:u w:val="single"/>
                                </w:rPr>
                                <w:t>Mentor</w:t>
                              </w:r>
                            </w:p>
                            <w:p w14:paraId="5B05BA24" w14:textId="77777777" w:rsidR="00BA04DA" w:rsidRDefault="00BA04DA" w:rsidP="00A76034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1320" w:hanging="240"/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Share your knowledge and experience</w:t>
                              </w:r>
                            </w:p>
                            <w:p w14:paraId="05C2E334" w14:textId="77777777" w:rsidR="00BA04DA" w:rsidRDefault="00BA04DA" w:rsidP="00A76034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1320" w:hanging="240"/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Practice leadership skills and encourage your mentee's leadership development</w:t>
                              </w:r>
                            </w:p>
                            <w:p w14:paraId="417A01B5" w14:textId="3FDE625C" w:rsidR="00BA04DA" w:rsidRDefault="00305FF3" w:rsidP="00A76034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1320" w:hanging="240"/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Enhance your interpersonal and coaching skills</w:t>
                              </w:r>
                              <w:r w:rsidR="008B1B3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Gain insights and perspectives from your mentees</w:t>
                              </w:r>
                            </w:p>
                            <w:p w14:paraId="00A059AB" w14:textId="77777777" w:rsidR="00BA04DA" w:rsidRDefault="00BA04DA">
                              <w:pPr>
                                <w:rPr>
                                  <w:rFonts w:ascii="Arial" w:hAnsi="Arial" w:cs="Arial"/>
                                  <w:color w:val="717A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  <w:u w:val="single"/>
                                </w:rPr>
                                <w:t>Mentee</w:t>
                              </w:r>
                            </w:p>
                            <w:p w14:paraId="229CB197" w14:textId="77777777" w:rsidR="00BA04DA" w:rsidRDefault="00BA04DA" w:rsidP="00A76034">
                              <w:pPr>
                                <w:numPr>
                                  <w:ilvl w:val="0"/>
                                  <w:numId w:val="2"/>
                                </w:numPr>
                                <w:ind w:left="1320" w:hanging="240"/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Benefit from access to experienced Region IV members</w:t>
                              </w:r>
                            </w:p>
                            <w:p w14:paraId="7055B7BC" w14:textId="77777777" w:rsidR="00BA04DA" w:rsidRDefault="00BA04DA" w:rsidP="00A76034">
                              <w:pPr>
                                <w:numPr>
                                  <w:ilvl w:val="0"/>
                                  <w:numId w:val="2"/>
                                </w:numPr>
                                <w:ind w:left="1320" w:hanging="240"/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Increase your professional network</w:t>
                              </w:r>
                            </w:p>
                            <w:p w14:paraId="23769063" w14:textId="77777777" w:rsidR="00BA04DA" w:rsidRDefault="00BA04DA" w:rsidP="00A76034">
                              <w:pPr>
                                <w:numPr>
                                  <w:ilvl w:val="0"/>
                                  <w:numId w:val="2"/>
                                </w:numPr>
                                <w:ind w:left="1320" w:hanging="240"/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Grow your knowledge of research administration</w:t>
                              </w:r>
                            </w:p>
                            <w:p w14:paraId="168DE32F" w14:textId="1A7285C7" w:rsidR="00BA04DA" w:rsidRDefault="00BA04DA" w:rsidP="00A76034">
                              <w:pPr>
                                <w:numPr>
                                  <w:ilvl w:val="0"/>
                                  <w:numId w:val="2"/>
                                </w:numPr>
                                <w:ind w:left="1320" w:hanging="240"/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Develop </w:t>
                              </w:r>
                              <w:r w:rsidR="00305FF3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key </w:t>
                              </w: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leadership skills</w:t>
                              </w:r>
                              <w:r w:rsidR="00305FF3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 for career advancement</w:t>
                              </w:r>
                            </w:p>
                          </w:tc>
                        </w:tr>
                      </w:tbl>
                      <w:p w14:paraId="34CD7962" w14:textId="77777777" w:rsidR="00BA04DA" w:rsidRDefault="00BA04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ECA8EB" w14:textId="77777777" w:rsidR="00BA04DA" w:rsidRDefault="00BA04DA">
                  <w:pPr>
                    <w:jc w:val="center"/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A04DA" w14:paraId="732D8E35" w14:textId="77777777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717A80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A04DA" w14:paraId="2497A85D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2A193875" w14:textId="77777777" w:rsidR="00BA04DA" w:rsidRDefault="00BA04DA">
                              <w:pPr>
                                <w:rPr>
                                  <w:rFonts w:ascii="Arial" w:hAnsi="Arial" w:cs="Arial"/>
                                  <w:color w:val="FFFFF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FEFEFE"/>
                                  <w:sz w:val="21"/>
                                  <w:szCs w:val="21"/>
                                </w:rPr>
                                <w:lastRenderedPageBreak/>
                                <w:t>What will I do?</w:t>
                              </w:r>
                            </w:p>
                          </w:tc>
                        </w:tr>
                      </w:tbl>
                      <w:p w14:paraId="6922B2AD" w14:textId="77777777" w:rsidR="00BA04DA" w:rsidRDefault="00BA04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B56EA8" w14:textId="77777777" w:rsidR="00BA04DA" w:rsidRDefault="00BA04DA">
                  <w:pPr>
                    <w:jc w:val="center"/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A04DA" w14:paraId="12318115" w14:textId="77777777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A04DA" w14:paraId="4A9D5EED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43750D5A" w14:textId="50D88EAE" w:rsidR="00A55B48" w:rsidRDefault="00BA04DA">
                              <w:pP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The program is structured to provide both individual assistance </w:t>
                              </w:r>
                              <w:r w:rsidR="00305FF3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and collaborative</w:t>
                              </w: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 interactions with other mentors and mentees. There are large group calls once a month between </w:t>
                              </w:r>
                              <w:r w:rsidR="008B1B3D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August </w:t>
                              </w: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and April focused on</w:t>
                              </w:r>
                              <w:r w:rsidR="00F822F6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 a</w:t>
                              </w: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 leadership development topic</w:t>
                              </w:r>
                              <w:r w:rsidR="00F822F6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, supported by chapters from a selected book, </w:t>
                              </w:r>
                              <w:r w:rsidR="008B1B3D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short</w:t>
                              </w: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 articles and related </w:t>
                              </w:r>
                              <w:r w:rsidR="00A55B48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videos </w:t>
                              </w:r>
                              <w:r w:rsidR="008B1B3D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that </w:t>
                              </w:r>
                              <w:r w:rsidR="00A55B48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form the foundation for these </w:t>
                              </w: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discussions. </w:t>
                              </w:r>
                              <w:r w:rsidR="00A55B48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Additionally, each mentor-mentee pair has</w:t>
                              </w: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 monthly</w:t>
                              </w:r>
                              <w:r w:rsidR="00A55B48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 calls to</w:t>
                              </w: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 focus on the mentee's specific learning needs. </w:t>
                              </w:r>
                            </w:p>
                            <w:p w14:paraId="45419210" w14:textId="77777777" w:rsidR="008B1B3D" w:rsidRDefault="008B1B3D">
                              <w:pP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</w:pPr>
                            </w:p>
                            <w:p w14:paraId="0C62EFFC" w14:textId="20AA3BCE" w:rsidR="00BA04DA" w:rsidRDefault="00A55B48">
                              <w:pPr>
                                <w:rPr>
                                  <w:rFonts w:ascii="Arial" w:hAnsi="Arial" w:cs="Arial"/>
                                  <w:color w:val="717A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To apply their learning, mentees are </w:t>
                              </w:r>
                              <w:r w:rsidR="008B1B3D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encouraged</w:t>
                              </w: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 to complete </w:t>
                              </w:r>
                              <w:r w:rsidR="00BA04DA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a capstone project which can be done at his/her institution or in a poster session, spark session, discussion table, or concurrent session at the next NCURA Regional Meeting.</w:t>
                              </w:r>
                            </w:p>
                          </w:tc>
                        </w:tr>
                      </w:tbl>
                      <w:p w14:paraId="124F95C6" w14:textId="77777777" w:rsidR="00BA04DA" w:rsidRDefault="00BA04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31C64B" w14:textId="77777777" w:rsidR="00BA04DA" w:rsidRDefault="00BA04DA">
                  <w:pPr>
                    <w:jc w:val="center"/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A04DA" w14:paraId="49C48F72" w14:textId="77777777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717A80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A04DA" w14:paraId="30DCCF75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6090DF8B" w14:textId="77777777" w:rsidR="00BA04DA" w:rsidRDefault="00BA04DA">
                              <w:pPr>
                                <w:rPr>
                                  <w:rFonts w:ascii="Arial" w:hAnsi="Arial" w:cs="Arial"/>
                                  <w:color w:val="FFFFF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FEFEFE"/>
                                  <w:sz w:val="21"/>
                                  <w:szCs w:val="21"/>
                                </w:rPr>
                                <w:t>Anything else I should know?</w:t>
                              </w:r>
                            </w:p>
                          </w:tc>
                        </w:tr>
                      </w:tbl>
                      <w:p w14:paraId="220F8DED" w14:textId="77777777" w:rsidR="00BA04DA" w:rsidRDefault="00BA04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BFD3CB" w14:textId="77777777" w:rsidR="00BA04DA" w:rsidRDefault="00BA04DA">
                  <w:pPr>
                    <w:jc w:val="center"/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A04DA" w14:paraId="4661CE8C" w14:textId="77777777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A04DA" w14:paraId="3AF05A03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1E2CE23F" w14:textId="705D473D" w:rsidR="00BA04DA" w:rsidRDefault="00217CEA">
                              <w:pPr>
                                <w:rPr>
                                  <w:rFonts w:ascii="Arial" w:hAnsi="Arial" w:cs="Arial"/>
                                  <w:color w:val="717A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The mentor-mentee matching process will begin in May. Applicants will be notified between June and July of selection and the program will officially</w:t>
                              </w:r>
                              <w:r w:rsidR="00BE0F74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 start in</w:t>
                              </w: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 August. </w:t>
                              </w:r>
                              <w:r w:rsidR="00BA04DA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Participants who attend at least </w:t>
                              </w:r>
                              <w:r w:rsidR="00185033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seven</w:t>
                              </w:r>
                              <w:r w:rsidR="00BA04DA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 of the </w:t>
                              </w:r>
                              <w:r w:rsidR="00185033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eight</w:t>
                              </w:r>
                              <w:r w:rsidR="00BA04DA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 group calls can receive 3 CRA credits for their participation. Also, MOO participants may apply for the John Philipps Travel Award which helps offset travel costs to the Regional Meeting.</w:t>
                              </w:r>
                            </w:p>
                          </w:tc>
                        </w:tr>
                      </w:tbl>
                      <w:p w14:paraId="31B9F7BD" w14:textId="77777777" w:rsidR="00BA04DA" w:rsidRDefault="00BA04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3DB63D" w14:textId="77777777" w:rsidR="00BA04DA" w:rsidRDefault="00BA04DA">
                  <w:pPr>
                    <w:jc w:val="center"/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A04DA" w14:paraId="17FC3EAA" w14:textId="77777777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717A80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A04DA" w14:paraId="372E6D94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278512C9" w14:textId="77777777" w:rsidR="00BA04DA" w:rsidRDefault="00BA04DA">
                              <w:pPr>
                                <w:rPr>
                                  <w:rFonts w:ascii="Arial" w:hAnsi="Arial" w:cs="Arial"/>
                                  <w:color w:val="FFFFF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FEFEFE"/>
                                  <w:sz w:val="21"/>
                                  <w:szCs w:val="21"/>
                                </w:rPr>
                                <w:t>How do I sign up?</w:t>
                              </w:r>
                            </w:p>
                          </w:tc>
                        </w:tr>
                      </w:tbl>
                      <w:p w14:paraId="0B2EA853" w14:textId="77777777" w:rsidR="00BA04DA" w:rsidRDefault="00BA04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FCB050" w14:textId="77777777" w:rsidR="00BA04DA" w:rsidRDefault="00BA04DA">
                  <w:pPr>
                    <w:jc w:val="center"/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A04DA" w14:paraId="2BD8BC11" w14:textId="77777777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A04DA" w14:paraId="58AE95FB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7304BB82" w14:textId="153E0B7F" w:rsidR="00BA04DA" w:rsidRDefault="00BA04DA">
                              <w:pPr>
                                <w:rPr>
                                  <w:rFonts w:ascii="Arial" w:hAnsi="Arial" w:cs="Arial"/>
                                  <w:color w:val="717A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For more information or to apply to be a mentor or mentee, please visit the </w:t>
                              </w: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387B37"/>
                                    <w:sz w:val="18"/>
                                    <w:szCs w:val="18"/>
                                  </w:rPr>
                                  <w:t>Region IV MOO webpage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17A80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  <w:p w14:paraId="1AF76404" w14:textId="7531705A" w:rsidR="00BA04DA" w:rsidRDefault="00BA04DA">
                              <w:pPr>
                                <w:rPr>
                                  <w:rFonts w:ascii="Arial" w:hAnsi="Arial" w:cs="Arial"/>
                                  <w:color w:val="717A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Complete the application form by </w:t>
                              </w:r>
                              <w:r w:rsidR="00AA4D24">
                                <w:rPr>
                                  <w:rFonts w:ascii="Arial" w:hAnsi="Arial" w:cs="Arial"/>
                                  <w:b/>
                                  <w:bCs/>
                                  <w:color w:val="382D36"/>
                                  <w:sz w:val="18"/>
                                  <w:szCs w:val="18"/>
                                  <w:highlight w:val="yellow"/>
                                </w:rPr>
                                <w:t xml:space="preserve">May </w:t>
                              </w:r>
                              <w:r w:rsidR="00C2581B" w:rsidRPr="000A67E2">
                                <w:rPr>
                                  <w:rFonts w:ascii="Arial" w:hAnsi="Arial" w:cs="Arial"/>
                                  <w:b/>
                                  <w:bCs/>
                                  <w:color w:val="382D36"/>
                                  <w:sz w:val="18"/>
                                  <w:szCs w:val="18"/>
                                  <w:highlight w:val="yellow"/>
                                </w:rPr>
                                <w:t>15, 2</w:t>
                              </w:r>
                              <w:r w:rsidR="00C2581B" w:rsidRPr="008B1B3D">
                                <w:rPr>
                                  <w:rFonts w:ascii="Arial" w:hAnsi="Arial" w:cs="Arial"/>
                                  <w:b/>
                                  <w:bCs/>
                                  <w:color w:val="382D36"/>
                                  <w:sz w:val="18"/>
                                  <w:szCs w:val="18"/>
                                  <w:highlight w:val="yellow"/>
                                </w:rPr>
                                <w:t>02</w:t>
                              </w:r>
                              <w:r w:rsidR="0088084A" w:rsidRPr="008B1B3D">
                                <w:rPr>
                                  <w:rFonts w:ascii="Arial" w:hAnsi="Arial" w:cs="Arial"/>
                                  <w:b/>
                                  <w:bCs/>
                                  <w:color w:val="382D36"/>
                                  <w:sz w:val="18"/>
                                  <w:szCs w:val="18"/>
                                  <w:highlight w:val="yellow"/>
                                </w:rPr>
                                <w:t>5</w:t>
                              </w:r>
                              <w:r w:rsidR="008B1B3D">
                                <w:rPr>
                                  <w:rFonts w:ascii="Arial" w:hAnsi="Arial" w:cs="Arial"/>
                                  <w:b/>
                                  <w:bCs/>
                                  <w:color w:val="382D36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color w:val="717A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64FE333B" w14:textId="77777777" w:rsidR="00927F47" w:rsidRDefault="00927F47">
                              <w:pPr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</w:pPr>
                            </w:p>
                            <w:p w14:paraId="1FC4B709" w14:textId="3E051794" w:rsidR="00BA04DA" w:rsidRDefault="00BA04DA">
                              <w:pPr>
                                <w:rPr>
                                  <w:rFonts w:ascii="Arial" w:hAnsi="Arial" w:cs="Arial"/>
                                  <w:color w:val="717A80"/>
                                  <w:sz w:val="36"/>
                                  <w:szCs w:val="36"/>
                                </w:rPr>
                              </w:pPr>
                              <w:r w:rsidRPr="008B1B3D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Questions? Contact </w:t>
                              </w:r>
                              <w:r w:rsidR="008C2F7E" w:rsidRPr="008B1B3D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Cristina Goldsmith or </w:t>
                              </w:r>
                              <w:r w:rsidR="0096398C" w:rsidRPr="008B1B3D">
                                <w:rPr>
                                  <w:rFonts w:ascii="Arial" w:hAnsi="Arial" w:cs="Arial"/>
                                  <w:color w:val="4C4C4C"/>
                                  <w:sz w:val="18"/>
                                  <w:szCs w:val="18"/>
                                </w:rPr>
                                <w:t>Crystal James</w:t>
                              </w:r>
                              <w:r w:rsidRPr="008B1B3D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 xml:space="preserve">, Professional Development Committee </w:t>
                              </w:r>
                              <w:r w:rsidR="00F01E10" w:rsidRPr="008B1B3D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8C2F7E" w:rsidRPr="008B1B3D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o-C</w:t>
                              </w:r>
                              <w:r w:rsidR="00F01E10" w:rsidRPr="008B1B3D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hair</w:t>
                              </w:r>
                              <w:r w:rsidR="008C2F7E" w:rsidRPr="008B1B3D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8B1B3D">
                                <w:rPr>
                                  <w:rFonts w:ascii="Arial" w:hAnsi="Arial" w:cs="Arial"/>
                                  <w:color w:val="382D36"/>
                                  <w:sz w:val="18"/>
                                  <w:szCs w:val="18"/>
                                </w:rPr>
                                <w:t>, at </w:t>
                              </w:r>
                              <w:hyperlink r:id="rId10" w:history="1">
                                <w:r w:rsidR="0088084A" w:rsidRPr="008B1B3D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NCURA.RIV.PDC@gmail.com</w:t>
                                </w:r>
                              </w:hyperlink>
                              <w:r w:rsidRPr="0096398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color w:val="717A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3CBCA37D" w14:textId="77777777" w:rsidR="00BA04DA" w:rsidRDefault="00BA04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B3A0DB" w14:textId="77777777" w:rsidR="00BA04DA" w:rsidRDefault="00BA04DA">
                  <w:pPr>
                    <w:jc w:val="center"/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0"/>
                    <w:gridCol w:w="4680"/>
                  </w:tblGrid>
                  <w:tr w:rsidR="00BA04DA" w14:paraId="4AE99328" w14:textId="77777777">
                    <w:trPr>
                      <w:jc w:val="center"/>
                    </w:trPr>
                    <w:tc>
                      <w:tcPr>
                        <w:tcW w:w="2500" w:type="pct"/>
                        <w:shd w:val="clear" w:color="auto" w:fill="DBD6A2"/>
                        <w:hideMark/>
                      </w:tcPr>
                      <w:p w14:paraId="21975458" w14:textId="77777777" w:rsidR="00BA04DA" w:rsidRDefault="00BA04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shd w:val="clear" w:color="auto" w:fill="DBD6A2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80"/>
                        </w:tblGrid>
                        <w:tr w:rsidR="00BA04DA" w14:paraId="051E9C47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80"/>
                              </w:tblGrid>
                              <w:tr w:rsidR="00BA04DA" w14:paraId="151CB7C3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58B893D" w14:textId="2E95A1C9" w:rsidR="00BA04DA" w:rsidRDefault="00BA04DA">
                                    <w:pPr>
                                      <w:spacing w:line="15" w:lineRule="atLeas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2472D30" wp14:editId="5AA60834">
                                          <wp:extent cx="44450" cy="6350"/>
                                          <wp:effectExtent l="0" t="0" r="0" b="0"/>
                                          <wp:docPr id="4" name="Pictur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450" cy="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9C27C13" w14:textId="77777777" w:rsidR="00BA04DA" w:rsidRDefault="00BA04DA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04DA" w14:paraId="6D06505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025E0C30" w14:textId="6E7175B8" w:rsidR="00BA04DA" w:rsidRDefault="0095552A">
                              <w:pPr>
                                <w:jc w:val="right"/>
                              </w:pPr>
                              <w:hyperlink r:id="rId11" w:history="1">
                                <w:r w:rsidR="00BA04DA">
                                  <w:rPr>
                                    <w:noProof/>
                                    <w:color w:val="0000FF"/>
                                  </w:rPr>
                                  <w:drawing>
                                    <wp:inline distT="0" distB="0" distL="0" distR="0" wp14:anchorId="6F9D6912" wp14:editId="2B581D86">
                                      <wp:extent cx="304800" cy="304800"/>
                                      <wp:effectExtent l="0" t="0" r="0" b="0"/>
                                      <wp:docPr id="3" name="Picture 3" descr="Facebook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 descr="Facebook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BA04DA">
                                  <w:rPr>
                                    <w:rStyle w:val="Hyperlink"/>
                                    <w:u w:val="none"/>
                                  </w:rPr>
                                  <w:t xml:space="preserve">‌ </w:t>
                                </w:r>
                              </w:hyperlink>
                              <w:hyperlink r:id="rId13" w:history="1">
                                <w:r w:rsidR="00BA04DA">
                                  <w:rPr>
                                    <w:noProof/>
                                    <w:color w:val="0000FF"/>
                                  </w:rPr>
                                  <w:drawing>
                                    <wp:inline distT="0" distB="0" distL="0" distR="0" wp14:anchorId="04D4C131" wp14:editId="4B09A7C4">
                                      <wp:extent cx="304800" cy="304800"/>
                                      <wp:effectExtent l="0" t="0" r="0" b="0"/>
                                      <wp:docPr id="2" name="Picture 2" descr="Twitte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Twitter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BA04DA">
                                  <w:rPr>
                                    <w:rStyle w:val="Hyperlink"/>
                                    <w:u w:val="none"/>
                                  </w:rPr>
                                  <w:t xml:space="preserve">‌ </w:t>
                                </w:r>
                              </w:hyperlink>
                              <w:hyperlink r:id="rId15" w:history="1">
                                <w:r w:rsidR="00BA04DA">
                                  <w:rPr>
                                    <w:noProof/>
                                    <w:color w:val="0000FF"/>
                                  </w:rPr>
                                  <w:drawing>
                                    <wp:inline distT="0" distB="0" distL="0" distR="0" wp14:anchorId="71042CC5" wp14:editId="783E64B6">
                                      <wp:extent cx="304800" cy="304800"/>
                                      <wp:effectExtent l="0" t="0" r="0" b="0"/>
                                      <wp:docPr id="1" name="Picture 1" descr="Instagra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 descr="Instagra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BA04DA">
                                  <w:rPr>
                                    <w:rStyle w:val="Hyperlink"/>
                                    <w:u w:val="none"/>
                                  </w:rPr>
                                  <w:t xml:space="preserve">‌ </w:t>
                                </w:r>
                              </w:hyperlink>
                            </w:p>
                          </w:tc>
                        </w:tr>
                      </w:tbl>
                      <w:p w14:paraId="2645480B" w14:textId="77777777" w:rsidR="00BA04DA" w:rsidRDefault="00BA04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BF321B" w14:textId="77777777" w:rsidR="00BA04DA" w:rsidRDefault="00BA04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F83AE5" w14:textId="77777777" w:rsidR="00BA04DA" w:rsidRDefault="00BA0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1520A4" w14:textId="77777777" w:rsidR="00F01E10" w:rsidRDefault="00F01E10"/>
    <w:sectPr w:rsidR="00F01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4EB9"/>
    <w:multiLevelType w:val="multilevel"/>
    <w:tmpl w:val="BB7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6519A"/>
    <w:multiLevelType w:val="multilevel"/>
    <w:tmpl w:val="828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4965">
    <w:abstractNumId w:val="0"/>
  </w:num>
  <w:num w:numId="2" w16cid:durableId="56441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DA"/>
    <w:rsid w:val="000A67E2"/>
    <w:rsid w:val="00185033"/>
    <w:rsid w:val="00217CEA"/>
    <w:rsid w:val="00305FF3"/>
    <w:rsid w:val="003910A6"/>
    <w:rsid w:val="004C2247"/>
    <w:rsid w:val="00661746"/>
    <w:rsid w:val="006810A8"/>
    <w:rsid w:val="0088084A"/>
    <w:rsid w:val="008B1B3D"/>
    <w:rsid w:val="008C2F7E"/>
    <w:rsid w:val="008E3637"/>
    <w:rsid w:val="00927F47"/>
    <w:rsid w:val="0095552A"/>
    <w:rsid w:val="0096398C"/>
    <w:rsid w:val="00A55B48"/>
    <w:rsid w:val="00AA4D24"/>
    <w:rsid w:val="00BA04DA"/>
    <w:rsid w:val="00BE0F74"/>
    <w:rsid w:val="00BE2807"/>
    <w:rsid w:val="00C2581B"/>
    <w:rsid w:val="00CA42D3"/>
    <w:rsid w:val="00D20A4F"/>
    <w:rsid w:val="00F01E10"/>
    <w:rsid w:val="00F822F6"/>
    <w:rsid w:val="00FA6C45"/>
    <w:rsid w:val="00F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54F17"/>
  <w15:chartTrackingRefBased/>
  <w15:docId w15:val="{E15E2B42-537F-4A9D-8A5A-1F2D7F19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4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4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8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5FF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rldefense.com/v3/__http:/r20.rs6.net/tn.jsp?f=001q_NnPqew7oAAFhevsD7X6Br_GqkPGPzW-C-kxs1YgoY4cfbbUAxjNk5l7rCRpj_8YRq6brZ-Cgd9cLgCBc0wE-g-VG1eDWABIADTHRFnBS_ArJa2GxGjq2HcXf7PvDuNXo_b08dDjWAaSyzR0ZC-oQ==&amp;c=hyhusJV8uMAWBU6aN8H34OsBjQBmNIBh7VqlBQBKcG0mDmbm8j-oYg==&amp;ch=_utUIqbdwUo_sPt6jcNeHd33af5RQ29m_YVD4I6-nkkeyyKM4U3MyA==__;!!DZ3fjg!u8ORj9kh6H7RaiMhIRxprp_X6ATE8iSYviU-ChvFbrwnJ6a5ql2Nz8r9A_o-Y3YfueY$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uraregioniv.com/mentoring-our-own-moo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ldefense.com/v3/__http:/r20.rs6.net/tn.jsp?f=001q_NnPqew7oAAFhevsD7X6Br_GqkPGPzW-C-kxs1YgoY4cfbbUAxjNk5l7rCRpj_88ueAjq0tjkbppJ4L33SgAXe7HLYx1UGeBma08qGxzPuxifBw0nyVQssrEEE8I5sCaFpQRmLpyyvjsJ-9O5IXAayMKTpc8ZeKuB1_Wh7yuGdO4dqKvxkGJB7K_t6XWKV_&amp;c=hyhusJV8uMAWBU6aN8H34OsBjQBmNIBh7VqlBQBKcG0mDmbm8j-oYg==&amp;ch=_utUIqbdwUo_sPt6jcNeHd33af5RQ29m_YVD4I6-nkkeyyKM4U3MyA==__;!!DZ3fjg!u8ORj9kh6H7RaiMhIRxprp_X6ATE8iSYviU-ChvFbrwnJ6a5ql2Nz8r9A_o-NA4Poag$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urldefense.com/v3/__http:/r20.rs6.net/tn.jsp?f=001q_NnPqew7oAAFhevsD7X6Br_GqkPGPzW-C-kxs1YgoY4cfbbUAxjNn52ADJMGMyubTCH4uXQorSFcWsIxPYEqBe-AehrQGmruxmginyGOxmGM4c5l7TIlZ7N0-JlLNRpjA6yl8xDqi2tuyo4hQlKiQ==&amp;c=hyhusJV8uMAWBU6aN8H34OsBjQBmNIBh7VqlBQBKcG0mDmbm8j-oYg==&amp;ch=_utUIqbdwUo_sPt6jcNeHd33af5RQ29m_YVD4I6-nkkeyyKM4U3MyA==__;!!DZ3fjg!u8ORj9kh6H7RaiMhIRxprp_X6ATE8iSYviU-ChvFbrwnJ6a5ql2Nz8r9A_o-d5UqPp8$" TargetMode="External"/><Relationship Id="rId10" Type="http://schemas.openxmlformats.org/officeDocument/2006/relationships/hyperlink" Target="mailto:NCURA.RIV.PD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uraregioniv.com/mentoring-our-own-moo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628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Goldsmith, Cristina</dc:creator>
  <cp:keywords/>
  <dc:description/>
  <cp:lastModifiedBy>James, Crystal</cp:lastModifiedBy>
  <cp:revision>2</cp:revision>
  <dcterms:created xsi:type="dcterms:W3CDTF">2025-03-24T16:50:00Z</dcterms:created>
  <dcterms:modified xsi:type="dcterms:W3CDTF">2025-03-24T16:50:00Z</dcterms:modified>
</cp:coreProperties>
</file>